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CBE0" w14:textId="77777777" w:rsidR="000B0ABA" w:rsidRPr="000B0ABA" w:rsidRDefault="000B0ABA" w:rsidP="000B0ABA">
      <w:pPr>
        <w:rPr>
          <w:b/>
          <w:bCs/>
        </w:rPr>
      </w:pPr>
      <w:proofErr w:type="gramStart"/>
      <w:r w:rsidRPr="000B0ABA">
        <w:rPr>
          <w:b/>
          <w:bCs/>
        </w:rPr>
        <w:t>General</w:t>
      </w:r>
      <w:proofErr w:type="gramEnd"/>
      <w:r w:rsidRPr="000B0ABA">
        <w:rPr>
          <w:b/>
          <w:bCs/>
        </w:rPr>
        <w:t xml:space="preserve"> Accepted Accounting Principles </w:t>
      </w:r>
      <w:proofErr w:type="gramStart"/>
      <w:r w:rsidRPr="000B0ABA">
        <w:rPr>
          <w:b/>
          <w:bCs/>
        </w:rPr>
        <w:t>at a Glance</w:t>
      </w:r>
      <w:proofErr w:type="gramEnd"/>
    </w:p>
    <w:tbl>
      <w:tblPr>
        <w:tblW w:w="138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2247"/>
        <w:gridCol w:w="2970"/>
        <w:gridCol w:w="3600"/>
        <w:gridCol w:w="3060"/>
        <w:gridCol w:w="360"/>
      </w:tblGrid>
      <w:tr w:rsidR="000B0ABA" w:rsidRPr="000B0ABA" w14:paraId="6E8B9D15" w14:textId="77777777" w:rsidTr="000B0ABA">
        <w:trPr>
          <w:gridAfter w:val="1"/>
          <w:wAfter w:w="360" w:type="dxa"/>
          <w:tblHeader/>
          <w:tblCellSpacing w:w="0" w:type="dxa"/>
        </w:trPr>
        <w:tc>
          <w:tcPr>
            <w:tcW w:w="1623" w:type="dxa"/>
            <w:tcBorders>
              <w:bottom w:val="single" w:sz="12" w:space="0" w:color="323A56"/>
            </w:tcBorders>
            <w:shd w:val="clear" w:color="auto" w:fill="323A56"/>
            <w:vAlign w:val="bottom"/>
            <w:hideMark/>
          </w:tcPr>
          <w:p w14:paraId="394C4413" w14:textId="77777777" w:rsidR="000B0ABA" w:rsidRPr="000B0ABA" w:rsidRDefault="000B0ABA" w:rsidP="000B0ABA">
            <w:pPr>
              <w:rPr>
                <w:b/>
                <w:bCs/>
              </w:rPr>
            </w:pPr>
            <w:r w:rsidRPr="000B0ABA">
              <w:rPr>
                <w:b/>
                <w:bCs/>
              </w:rPr>
              <w:t>Principle</w:t>
            </w:r>
          </w:p>
        </w:tc>
        <w:tc>
          <w:tcPr>
            <w:tcW w:w="2247" w:type="dxa"/>
            <w:tcBorders>
              <w:left w:val="nil"/>
              <w:bottom w:val="single" w:sz="12" w:space="0" w:color="323A56"/>
            </w:tcBorders>
            <w:shd w:val="clear" w:color="auto" w:fill="323A56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3DDC5A01" w14:textId="77777777" w:rsidR="000B0ABA" w:rsidRPr="000B0ABA" w:rsidRDefault="000B0ABA" w:rsidP="000B0ABA">
            <w:pPr>
              <w:rPr>
                <w:b/>
                <w:bCs/>
              </w:rPr>
            </w:pPr>
            <w:r w:rsidRPr="000B0ABA">
              <w:rPr>
                <w:b/>
                <w:bCs/>
              </w:rPr>
              <w:t>What It Means</w:t>
            </w:r>
          </w:p>
        </w:tc>
        <w:tc>
          <w:tcPr>
            <w:tcW w:w="2970" w:type="dxa"/>
            <w:tcBorders>
              <w:left w:val="nil"/>
              <w:bottom w:val="single" w:sz="12" w:space="0" w:color="323A56"/>
            </w:tcBorders>
            <w:shd w:val="clear" w:color="auto" w:fill="323A56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4975AEAE" w14:textId="77777777" w:rsidR="000B0ABA" w:rsidRPr="000B0ABA" w:rsidRDefault="000B0ABA" w:rsidP="000B0ABA">
            <w:pPr>
              <w:rPr>
                <w:b/>
                <w:bCs/>
              </w:rPr>
            </w:pPr>
            <w:r w:rsidRPr="000B0ABA">
              <w:rPr>
                <w:b/>
                <w:bCs/>
              </w:rPr>
              <w:t>Related GAAP Rules</w:t>
            </w:r>
          </w:p>
        </w:tc>
        <w:tc>
          <w:tcPr>
            <w:tcW w:w="3600" w:type="dxa"/>
            <w:tcBorders>
              <w:left w:val="nil"/>
              <w:bottom w:val="single" w:sz="12" w:space="0" w:color="323A56"/>
            </w:tcBorders>
            <w:shd w:val="clear" w:color="auto" w:fill="323A56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42BB2CA4" w14:textId="77777777" w:rsidR="000B0ABA" w:rsidRPr="000B0ABA" w:rsidRDefault="000B0ABA" w:rsidP="000B0ABA">
            <w:pPr>
              <w:rPr>
                <w:b/>
                <w:bCs/>
              </w:rPr>
            </w:pPr>
            <w:r w:rsidRPr="000B0ABA">
              <w:rPr>
                <w:b/>
                <w:bCs/>
              </w:rPr>
              <w:t>What the Rules Require</w:t>
            </w:r>
          </w:p>
        </w:tc>
        <w:tc>
          <w:tcPr>
            <w:tcW w:w="3060" w:type="dxa"/>
            <w:tcBorders>
              <w:left w:val="nil"/>
              <w:bottom w:val="single" w:sz="12" w:space="0" w:color="323A56"/>
            </w:tcBorders>
            <w:shd w:val="clear" w:color="auto" w:fill="323A56"/>
            <w:vAlign w:val="bottom"/>
            <w:hideMark/>
          </w:tcPr>
          <w:p w14:paraId="21AC6AD8" w14:textId="77777777" w:rsidR="000B0ABA" w:rsidRPr="000B0ABA" w:rsidRDefault="000B0ABA" w:rsidP="000B0ABA">
            <w:pPr>
              <w:rPr>
                <w:b/>
                <w:bCs/>
              </w:rPr>
            </w:pPr>
            <w:r w:rsidRPr="000B0ABA">
              <w:rPr>
                <w:b/>
                <w:bCs/>
              </w:rPr>
              <w:t>Example</w:t>
            </w:r>
          </w:p>
        </w:tc>
      </w:tr>
      <w:tr w:rsidR="000B0ABA" w:rsidRPr="000B0ABA" w14:paraId="3F92FDED" w14:textId="77777777" w:rsidTr="000B0ABA">
        <w:trPr>
          <w:gridAfter w:val="1"/>
          <w:wAfter w:w="360" w:type="dxa"/>
          <w:tblCellSpacing w:w="0" w:type="dxa"/>
        </w:trPr>
        <w:tc>
          <w:tcPr>
            <w:tcW w:w="1623" w:type="dxa"/>
            <w:tcBorders>
              <w:bottom w:val="single" w:sz="6" w:space="0" w:color="E07000"/>
            </w:tcBorders>
            <w:shd w:val="clear" w:color="auto" w:fill="auto"/>
            <w:vAlign w:val="center"/>
            <w:hideMark/>
          </w:tcPr>
          <w:p w14:paraId="7D162CCE" w14:textId="77777777" w:rsidR="000B0ABA" w:rsidRPr="000B0ABA" w:rsidRDefault="000B0ABA" w:rsidP="000B0ABA">
            <w:pPr>
              <w:rPr>
                <w:b/>
                <w:bCs/>
                <w:sz w:val="20"/>
                <w:szCs w:val="20"/>
              </w:rPr>
            </w:pPr>
            <w:r w:rsidRPr="000B0ABA">
              <w:rPr>
                <w:b/>
                <w:bCs/>
                <w:sz w:val="20"/>
                <w:szCs w:val="20"/>
              </w:rPr>
              <w:t>Conservatism Principle</w:t>
            </w:r>
          </w:p>
        </w:tc>
        <w:tc>
          <w:tcPr>
            <w:tcW w:w="2247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56C1D68B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Be cautious about recording gains, quick to record potential losses</w:t>
            </w:r>
          </w:p>
        </w:tc>
        <w:tc>
          <w:tcPr>
            <w:tcW w:w="2970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65506823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• Loss contingency rules (ASC 450-20)</w:t>
            </w:r>
            <w:r w:rsidRPr="000B0ABA">
              <w:rPr>
                <w:sz w:val="20"/>
                <w:szCs w:val="20"/>
              </w:rPr>
              <w:br/>
              <w:t>• Asset impairment rules (ASC 360)</w:t>
            </w:r>
          </w:p>
        </w:tc>
        <w:tc>
          <w:tcPr>
            <w:tcW w:w="3600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58B7F828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Specific criteria for when to record potential losses and how to value impaired assets</w:t>
            </w:r>
          </w:p>
        </w:tc>
        <w:tc>
          <w:tcPr>
            <w:tcW w:w="3060" w:type="dxa"/>
            <w:tcBorders>
              <w:left w:val="nil"/>
              <w:bottom w:val="single" w:sz="6" w:space="0" w:color="E07000"/>
            </w:tcBorders>
            <w:shd w:val="clear" w:color="auto" w:fill="auto"/>
            <w:vAlign w:val="center"/>
            <w:hideMark/>
          </w:tcPr>
          <w:p w14:paraId="24B7F086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Must record likely and reasonably estimated lawsuit losses immediately but wait to record potential gains until certain</w:t>
            </w:r>
          </w:p>
        </w:tc>
      </w:tr>
      <w:tr w:rsidR="000B0ABA" w:rsidRPr="000B0ABA" w14:paraId="1CD3900C" w14:textId="77777777" w:rsidTr="000B0ABA">
        <w:trPr>
          <w:gridAfter w:val="1"/>
          <w:wAfter w:w="360" w:type="dxa"/>
          <w:tblCellSpacing w:w="0" w:type="dxa"/>
        </w:trPr>
        <w:tc>
          <w:tcPr>
            <w:tcW w:w="1623" w:type="dxa"/>
            <w:tcBorders>
              <w:bottom w:val="single" w:sz="6" w:space="0" w:color="E07000"/>
            </w:tcBorders>
            <w:vAlign w:val="center"/>
            <w:hideMark/>
          </w:tcPr>
          <w:p w14:paraId="05243E40" w14:textId="77777777" w:rsidR="000B0ABA" w:rsidRPr="000B0ABA" w:rsidRDefault="000B0ABA" w:rsidP="000B0ABA">
            <w:pPr>
              <w:rPr>
                <w:b/>
                <w:bCs/>
                <w:sz w:val="20"/>
                <w:szCs w:val="20"/>
              </w:rPr>
            </w:pPr>
            <w:r w:rsidRPr="000B0ABA">
              <w:rPr>
                <w:b/>
                <w:bCs/>
                <w:sz w:val="20"/>
                <w:szCs w:val="20"/>
              </w:rPr>
              <w:t>Consistency Principle</w:t>
            </w:r>
          </w:p>
        </w:tc>
        <w:tc>
          <w:tcPr>
            <w:tcW w:w="2247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5A74C5DC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Use the same accounting methods over time</w:t>
            </w:r>
          </w:p>
        </w:tc>
        <w:tc>
          <w:tcPr>
            <w:tcW w:w="2970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4CD773FE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proofErr w:type="gramStart"/>
            <w:r w:rsidRPr="000B0ABA">
              <w:rPr>
                <w:sz w:val="20"/>
                <w:szCs w:val="20"/>
              </w:rPr>
              <w:t>• Accounting changes</w:t>
            </w:r>
            <w:proofErr w:type="gramEnd"/>
            <w:r w:rsidRPr="000B0ABA">
              <w:rPr>
                <w:sz w:val="20"/>
                <w:szCs w:val="20"/>
              </w:rPr>
              <w:t xml:space="preserve"> rules (ASC 250)</w:t>
            </w:r>
            <w:r w:rsidRPr="000B0ABA">
              <w:rPr>
                <w:sz w:val="20"/>
                <w:szCs w:val="20"/>
              </w:rPr>
              <w:br/>
              <w:t>• Disclosure Requirements</w:t>
            </w:r>
          </w:p>
        </w:tc>
        <w:tc>
          <w:tcPr>
            <w:tcW w:w="3600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0089C6C5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Detailed requirements for when and how accounting methods can be changed</w:t>
            </w:r>
          </w:p>
        </w:tc>
        <w:tc>
          <w:tcPr>
            <w:tcW w:w="3060" w:type="dxa"/>
            <w:tcBorders>
              <w:left w:val="nil"/>
              <w:bottom w:val="single" w:sz="6" w:space="0" w:color="E07000"/>
            </w:tcBorders>
            <w:vAlign w:val="center"/>
            <w:hideMark/>
          </w:tcPr>
          <w:p w14:paraId="409B31D5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If changing depreciation methods, must justify change and retroactively adjust prior statements</w:t>
            </w:r>
          </w:p>
        </w:tc>
      </w:tr>
      <w:tr w:rsidR="000B0ABA" w:rsidRPr="000B0ABA" w14:paraId="5172581F" w14:textId="77777777" w:rsidTr="000B0ABA">
        <w:trPr>
          <w:gridAfter w:val="1"/>
          <w:wAfter w:w="360" w:type="dxa"/>
          <w:tblCellSpacing w:w="0" w:type="dxa"/>
        </w:trPr>
        <w:tc>
          <w:tcPr>
            <w:tcW w:w="1623" w:type="dxa"/>
            <w:tcBorders>
              <w:bottom w:val="single" w:sz="6" w:space="0" w:color="E07000"/>
            </w:tcBorders>
            <w:shd w:val="clear" w:color="auto" w:fill="auto"/>
            <w:vAlign w:val="center"/>
            <w:hideMark/>
          </w:tcPr>
          <w:p w14:paraId="7B49EF3A" w14:textId="77777777" w:rsidR="000B0ABA" w:rsidRPr="000B0ABA" w:rsidRDefault="000B0ABA" w:rsidP="000B0ABA">
            <w:pPr>
              <w:rPr>
                <w:b/>
                <w:bCs/>
                <w:sz w:val="20"/>
                <w:szCs w:val="20"/>
              </w:rPr>
            </w:pPr>
            <w:r w:rsidRPr="000B0ABA">
              <w:rPr>
                <w:b/>
                <w:bCs/>
                <w:sz w:val="20"/>
                <w:szCs w:val="20"/>
              </w:rPr>
              <w:t>Cost Principle</w:t>
            </w:r>
          </w:p>
        </w:tc>
        <w:tc>
          <w:tcPr>
            <w:tcW w:w="2247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5E6B803A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Record items at original purchase price</w:t>
            </w:r>
          </w:p>
        </w:tc>
        <w:tc>
          <w:tcPr>
            <w:tcW w:w="2970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5D230A29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• Asset valuation rules (ASC 360)</w:t>
            </w:r>
            <w:r w:rsidRPr="000B0ABA">
              <w:rPr>
                <w:sz w:val="20"/>
                <w:szCs w:val="20"/>
              </w:rPr>
              <w:br/>
              <w:t>• Historical cost requirements throughout</w:t>
            </w:r>
          </w:p>
        </w:tc>
        <w:tc>
          <w:tcPr>
            <w:tcW w:w="3600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24499F9D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 xml:space="preserve">Specific guidelines for determining and recording </w:t>
            </w:r>
            <w:proofErr w:type="gramStart"/>
            <w:r w:rsidRPr="000B0ABA">
              <w:rPr>
                <w:sz w:val="20"/>
                <w:szCs w:val="20"/>
              </w:rPr>
              <w:t>initial</w:t>
            </w:r>
            <w:proofErr w:type="gramEnd"/>
            <w:r w:rsidRPr="000B0ABA">
              <w:rPr>
                <w:sz w:val="20"/>
                <w:szCs w:val="20"/>
              </w:rPr>
              <w:t xml:space="preserve"> cost of assets</w:t>
            </w:r>
          </w:p>
        </w:tc>
        <w:tc>
          <w:tcPr>
            <w:tcW w:w="3060" w:type="dxa"/>
            <w:tcBorders>
              <w:left w:val="nil"/>
              <w:bottom w:val="single" w:sz="6" w:space="0" w:color="E07000"/>
            </w:tcBorders>
            <w:shd w:val="clear" w:color="auto" w:fill="auto"/>
            <w:vAlign w:val="center"/>
            <w:hideMark/>
          </w:tcPr>
          <w:p w14:paraId="377CFFE9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Must record equipment at purchase price plus installation, not market value</w:t>
            </w:r>
          </w:p>
        </w:tc>
      </w:tr>
      <w:tr w:rsidR="000B0ABA" w:rsidRPr="000B0ABA" w14:paraId="17E203B2" w14:textId="77777777" w:rsidTr="000B0ABA">
        <w:trPr>
          <w:tblCellSpacing w:w="0" w:type="dxa"/>
        </w:trPr>
        <w:tc>
          <w:tcPr>
            <w:tcW w:w="1623" w:type="dxa"/>
            <w:tcBorders>
              <w:bottom w:val="single" w:sz="6" w:space="0" w:color="E07000"/>
            </w:tcBorders>
            <w:vAlign w:val="center"/>
            <w:hideMark/>
          </w:tcPr>
          <w:p w14:paraId="2AAB8C3B" w14:textId="77777777" w:rsidR="000B0ABA" w:rsidRPr="000B0ABA" w:rsidRDefault="000B0ABA" w:rsidP="000B0ABA">
            <w:pPr>
              <w:rPr>
                <w:b/>
                <w:bCs/>
                <w:sz w:val="20"/>
                <w:szCs w:val="20"/>
              </w:rPr>
            </w:pPr>
            <w:r w:rsidRPr="000B0ABA">
              <w:rPr>
                <w:b/>
                <w:bCs/>
                <w:sz w:val="20"/>
                <w:szCs w:val="20"/>
              </w:rPr>
              <w:t>Economic Entity Principle</w:t>
            </w:r>
          </w:p>
        </w:tc>
        <w:tc>
          <w:tcPr>
            <w:tcW w:w="2247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122F8DA6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Keep business and personal transactions separate</w:t>
            </w:r>
          </w:p>
        </w:tc>
        <w:tc>
          <w:tcPr>
            <w:tcW w:w="2970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4559E774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• Consolidation rules (ASC 810)</w:t>
            </w:r>
            <w:r w:rsidRPr="000B0ABA">
              <w:rPr>
                <w:sz w:val="20"/>
                <w:szCs w:val="20"/>
              </w:rPr>
              <w:br/>
              <w:t>• Related party rules (ASC 850)</w:t>
            </w:r>
          </w:p>
        </w:tc>
        <w:tc>
          <w:tcPr>
            <w:tcW w:w="3600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2511384A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Detailed criteria for how to report relationships between related entities, including requirements for consolidated financial statements that present a parent company and its subsidiaries as a single economic entity.</w:t>
            </w:r>
          </w:p>
        </w:tc>
        <w:tc>
          <w:tcPr>
            <w:tcW w:w="3420" w:type="dxa"/>
            <w:gridSpan w:val="2"/>
            <w:tcBorders>
              <w:left w:val="nil"/>
              <w:bottom w:val="single" w:sz="6" w:space="0" w:color="E07000"/>
            </w:tcBorders>
            <w:vAlign w:val="center"/>
            <w:hideMark/>
          </w:tcPr>
          <w:p w14:paraId="20A93EFC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A parent company must prepare consolidated financial statements that include the financial results of its subsidiaries, even though they are separate legal entities</w:t>
            </w:r>
          </w:p>
        </w:tc>
      </w:tr>
      <w:tr w:rsidR="000B0ABA" w:rsidRPr="000B0ABA" w14:paraId="24CE6B95" w14:textId="77777777" w:rsidTr="000B0ABA">
        <w:trPr>
          <w:gridAfter w:val="1"/>
          <w:wAfter w:w="360" w:type="dxa"/>
          <w:tblCellSpacing w:w="0" w:type="dxa"/>
        </w:trPr>
        <w:tc>
          <w:tcPr>
            <w:tcW w:w="1623" w:type="dxa"/>
            <w:tcBorders>
              <w:bottom w:val="single" w:sz="6" w:space="0" w:color="E07000"/>
            </w:tcBorders>
            <w:shd w:val="clear" w:color="auto" w:fill="auto"/>
            <w:vAlign w:val="center"/>
            <w:hideMark/>
          </w:tcPr>
          <w:p w14:paraId="54B47557" w14:textId="77777777" w:rsidR="000B0ABA" w:rsidRPr="000B0ABA" w:rsidRDefault="000B0ABA" w:rsidP="000B0ABA">
            <w:pPr>
              <w:rPr>
                <w:b/>
                <w:bCs/>
                <w:sz w:val="20"/>
                <w:szCs w:val="20"/>
              </w:rPr>
            </w:pPr>
            <w:r w:rsidRPr="000B0ABA">
              <w:rPr>
                <w:b/>
                <w:bCs/>
                <w:sz w:val="20"/>
                <w:szCs w:val="20"/>
              </w:rPr>
              <w:t>Full Disclosure Principle</w:t>
            </w:r>
          </w:p>
        </w:tc>
        <w:tc>
          <w:tcPr>
            <w:tcW w:w="2247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2A0674DB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proofErr w:type="gramStart"/>
            <w:r w:rsidRPr="000B0ABA">
              <w:rPr>
                <w:sz w:val="20"/>
                <w:szCs w:val="20"/>
              </w:rPr>
              <w:t>Report</w:t>
            </w:r>
            <w:proofErr w:type="gramEnd"/>
            <w:r w:rsidRPr="000B0ABA">
              <w:rPr>
                <w:sz w:val="20"/>
                <w:szCs w:val="20"/>
              </w:rPr>
              <w:t xml:space="preserve"> all significant financial information</w:t>
            </w:r>
          </w:p>
        </w:tc>
        <w:tc>
          <w:tcPr>
            <w:tcW w:w="2970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54BDBEC3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• MD&amp;A Requirements</w:t>
            </w:r>
            <w:r w:rsidRPr="000B0ABA">
              <w:rPr>
                <w:sz w:val="20"/>
                <w:szCs w:val="20"/>
              </w:rPr>
              <w:br/>
              <w:t>• Footnote rules throughout</w:t>
            </w:r>
            <w:r w:rsidRPr="000B0ABA">
              <w:rPr>
                <w:sz w:val="20"/>
                <w:szCs w:val="20"/>
              </w:rPr>
              <w:br/>
              <w:t>• Segment reporting rules (ASC 280)</w:t>
            </w:r>
          </w:p>
        </w:tc>
        <w:tc>
          <w:tcPr>
            <w:tcW w:w="3600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0E4C2A71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Specific items that must be disclosed and how to present them</w:t>
            </w:r>
          </w:p>
        </w:tc>
        <w:tc>
          <w:tcPr>
            <w:tcW w:w="3060" w:type="dxa"/>
            <w:tcBorders>
              <w:left w:val="nil"/>
              <w:bottom w:val="single" w:sz="6" w:space="0" w:color="E07000"/>
            </w:tcBorders>
            <w:shd w:val="clear" w:color="auto" w:fill="auto"/>
            <w:vAlign w:val="center"/>
            <w:hideMark/>
          </w:tcPr>
          <w:p w14:paraId="1B04DE3C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Must disclose significant customers representing over 10% of revenue</w:t>
            </w:r>
          </w:p>
        </w:tc>
      </w:tr>
      <w:tr w:rsidR="000B0ABA" w:rsidRPr="000B0ABA" w14:paraId="553D97AE" w14:textId="77777777" w:rsidTr="000B0ABA">
        <w:trPr>
          <w:gridAfter w:val="1"/>
          <w:wAfter w:w="360" w:type="dxa"/>
          <w:tblCellSpacing w:w="0" w:type="dxa"/>
        </w:trPr>
        <w:tc>
          <w:tcPr>
            <w:tcW w:w="1623" w:type="dxa"/>
            <w:tcBorders>
              <w:bottom w:val="single" w:sz="6" w:space="0" w:color="E07000"/>
            </w:tcBorders>
            <w:vAlign w:val="center"/>
            <w:hideMark/>
          </w:tcPr>
          <w:p w14:paraId="1E01E70E" w14:textId="77777777" w:rsidR="000B0ABA" w:rsidRPr="000B0ABA" w:rsidRDefault="000B0ABA" w:rsidP="000B0ABA">
            <w:pPr>
              <w:rPr>
                <w:b/>
                <w:bCs/>
                <w:sz w:val="20"/>
                <w:szCs w:val="20"/>
              </w:rPr>
            </w:pPr>
            <w:r w:rsidRPr="000B0ABA">
              <w:rPr>
                <w:b/>
                <w:bCs/>
                <w:sz w:val="20"/>
                <w:szCs w:val="20"/>
              </w:rPr>
              <w:lastRenderedPageBreak/>
              <w:t>Going Concern Principle</w:t>
            </w:r>
          </w:p>
        </w:tc>
        <w:tc>
          <w:tcPr>
            <w:tcW w:w="2247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4A09D934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Assume business will continue operating</w:t>
            </w:r>
          </w:p>
        </w:tc>
        <w:tc>
          <w:tcPr>
            <w:tcW w:w="2970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76DE86EA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• Going concern assessment rules (ASC 205-40)</w:t>
            </w:r>
          </w:p>
        </w:tc>
        <w:tc>
          <w:tcPr>
            <w:tcW w:w="3600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51EAB5D8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Evaluative criteria for determining if a business remains viable</w:t>
            </w:r>
          </w:p>
        </w:tc>
        <w:tc>
          <w:tcPr>
            <w:tcW w:w="3060" w:type="dxa"/>
            <w:tcBorders>
              <w:left w:val="nil"/>
              <w:bottom w:val="single" w:sz="6" w:space="0" w:color="E07000"/>
            </w:tcBorders>
            <w:vAlign w:val="center"/>
            <w:hideMark/>
          </w:tcPr>
          <w:p w14:paraId="344EFC9B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Must evaluate and disclose if there's substantial doubt about continuing operations</w:t>
            </w:r>
          </w:p>
        </w:tc>
      </w:tr>
      <w:tr w:rsidR="000B0ABA" w:rsidRPr="000B0ABA" w14:paraId="38917A3F" w14:textId="77777777" w:rsidTr="000B0ABA">
        <w:trPr>
          <w:gridAfter w:val="1"/>
          <w:wAfter w:w="360" w:type="dxa"/>
          <w:tblCellSpacing w:w="0" w:type="dxa"/>
        </w:trPr>
        <w:tc>
          <w:tcPr>
            <w:tcW w:w="1623" w:type="dxa"/>
            <w:tcBorders>
              <w:bottom w:val="single" w:sz="6" w:space="0" w:color="E07000"/>
            </w:tcBorders>
            <w:shd w:val="clear" w:color="auto" w:fill="auto"/>
            <w:vAlign w:val="center"/>
            <w:hideMark/>
          </w:tcPr>
          <w:p w14:paraId="36F0D217" w14:textId="77777777" w:rsidR="000B0ABA" w:rsidRPr="000B0ABA" w:rsidRDefault="000B0ABA" w:rsidP="000B0ABA">
            <w:pPr>
              <w:rPr>
                <w:b/>
                <w:bCs/>
                <w:sz w:val="20"/>
                <w:szCs w:val="20"/>
              </w:rPr>
            </w:pPr>
            <w:r w:rsidRPr="000B0ABA">
              <w:rPr>
                <w:b/>
                <w:bCs/>
                <w:sz w:val="20"/>
                <w:szCs w:val="20"/>
              </w:rPr>
              <w:t>Matching Principle</w:t>
            </w:r>
          </w:p>
        </w:tc>
        <w:tc>
          <w:tcPr>
            <w:tcW w:w="2247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4FB89B10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Record related revenues and expenses together</w:t>
            </w:r>
          </w:p>
        </w:tc>
        <w:tc>
          <w:tcPr>
            <w:tcW w:w="2970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7821A56D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• Revenue recognition rules (ASC 606)</w:t>
            </w:r>
            <w:r w:rsidRPr="000B0ABA">
              <w:rPr>
                <w:sz w:val="20"/>
                <w:szCs w:val="20"/>
              </w:rPr>
              <w:br/>
              <w:t>• Expense recognition rules</w:t>
            </w:r>
          </w:p>
        </w:tc>
        <w:tc>
          <w:tcPr>
            <w:tcW w:w="3600" w:type="dxa"/>
            <w:tcBorders>
              <w:left w:val="nil"/>
              <w:bottom w:val="single" w:sz="6" w:space="0" w:color="E07000"/>
            </w:tcBorders>
            <w:shd w:val="clear" w:color="auto" w:fill="auto"/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3DD44706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Detailed guidelines for matching expenses with related revenues</w:t>
            </w:r>
          </w:p>
        </w:tc>
        <w:tc>
          <w:tcPr>
            <w:tcW w:w="3060" w:type="dxa"/>
            <w:tcBorders>
              <w:left w:val="nil"/>
              <w:bottom w:val="single" w:sz="6" w:space="0" w:color="E07000"/>
            </w:tcBorders>
            <w:shd w:val="clear" w:color="auto" w:fill="auto"/>
            <w:vAlign w:val="center"/>
            <w:hideMark/>
          </w:tcPr>
          <w:p w14:paraId="13B597E9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 xml:space="preserve">Commission </w:t>
            </w:r>
            <w:proofErr w:type="gramStart"/>
            <w:r w:rsidRPr="000B0ABA">
              <w:rPr>
                <w:sz w:val="20"/>
                <w:szCs w:val="20"/>
              </w:rPr>
              <w:t>expense</w:t>
            </w:r>
            <w:proofErr w:type="gramEnd"/>
            <w:r w:rsidRPr="000B0ABA">
              <w:rPr>
                <w:sz w:val="20"/>
                <w:szCs w:val="20"/>
              </w:rPr>
              <w:t xml:space="preserve"> must be recorded in same period as related sales</w:t>
            </w:r>
          </w:p>
        </w:tc>
      </w:tr>
      <w:tr w:rsidR="000B0ABA" w:rsidRPr="000B0ABA" w14:paraId="3BC34E97" w14:textId="77777777" w:rsidTr="000B0ABA">
        <w:trPr>
          <w:gridAfter w:val="1"/>
          <w:wAfter w:w="360" w:type="dxa"/>
          <w:tblCellSpacing w:w="0" w:type="dxa"/>
        </w:trPr>
        <w:tc>
          <w:tcPr>
            <w:tcW w:w="1623" w:type="dxa"/>
            <w:tcBorders>
              <w:bottom w:val="single" w:sz="6" w:space="0" w:color="E07000"/>
            </w:tcBorders>
            <w:vAlign w:val="center"/>
            <w:hideMark/>
          </w:tcPr>
          <w:p w14:paraId="400B89FE" w14:textId="77777777" w:rsidR="000B0ABA" w:rsidRPr="000B0ABA" w:rsidRDefault="000B0ABA" w:rsidP="000B0ABA">
            <w:pPr>
              <w:rPr>
                <w:b/>
                <w:bCs/>
                <w:sz w:val="20"/>
                <w:szCs w:val="20"/>
              </w:rPr>
            </w:pPr>
            <w:r w:rsidRPr="000B0ABA">
              <w:rPr>
                <w:b/>
                <w:bCs/>
                <w:sz w:val="20"/>
                <w:szCs w:val="20"/>
              </w:rPr>
              <w:t>Revenue Recognition Principle</w:t>
            </w:r>
          </w:p>
        </w:tc>
        <w:tc>
          <w:tcPr>
            <w:tcW w:w="2247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15B9BD94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Record revenue when earned, not when cash received</w:t>
            </w:r>
          </w:p>
        </w:tc>
        <w:tc>
          <w:tcPr>
            <w:tcW w:w="2970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11AA8440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• Five-step revenue recognition model (ASC 606)</w:t>
            </w:r>
          </w:p>
        </w:tc>
        <w:tc>
          <w:tcPr>
            <w:tcW w:w="3600" w:type="dxa"/>
            <w:tcBorders>
              <w:left w:val="nil"/>
              <w:bottom w:val="single" w:sz="6" w:space="0" w:color="E07000"/>
            </w:tcBorders>
            <w:tcMar>
              <w:top w:w="75" w:type="dxa"/>
              <w:left w:w="240" w:type="dxa"/>
              <w:bottom w:w="75" w:type="dxa"/>
              <w:right w:w="240" w:type="dxa"/>
            </w:tcMar>
            <w:vAlign w:val="center"/>
            <w:hideMark/>
          </w:tcPr>
          <w:p w14:paraId="55A0488A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Specific criteria for when and how to record revenue based on five-step process</w:t>
            </w:r>
          </w:p>
        </w:tc>
        <w:tc>
          <w:tcPr>
            <w:tcW w:w="3060" w:type="dxa"/>
            <w:tcBorders>
              <w:left w:val="nil"/>
              <w:bottom w:val="single" w:sz="6" w:space="0" w:color="E07000"/>
            </w:tcBorders>
            <w:vAlign w:val="center"/>
            <w:hideMark/>
          </w:tcPr>
          <w:p w14:paraId="010BC64E" w14:textId="77777777" w:rsidR="000B0ABA" w:rsidRPr="000B0ABA" w:rsidRDefault="000B0ABA" w:rsidP="000B0ABA">
            <w:pPr>
              <w:rPr>
                <w:sz w:val="20"/>
                <w:szCs w:val="20"/>
              </w:rPr>
            </w:pPr>
            <w:r w:rsidRPr="000B0ABA">
              <w:rPr>
                <w:sz w:val="20"/>
                <w:szCs w:val="20"/>
              </w:rPr>
              <w:t>Software companies must recognize subscription revenue over service period</w:t>
            </w:r>
          </w:p>
        </w:tc>
      </w:tr>
    </w:tbl>
    <w:p w14:paraId="4EAACFCC" w14:textId="77777777" w:rsidR="000B0ABA" w:rsidRPr="000B0ABA" w:rsidRDefault="000B0ABA" w:rsidP="000B0ABA">
      <w:pPr>
        <w:rPr>
          <w:i/>
          <w:iCs/>
          <w:sz w:val="20"/>
          <w:szCs w:val="20"/>
        </w:rPr>
      </w:pPr>
      <w:r w:rsidRPr="000B0ABA">
        <w:rPr>
          <w:i/>
          <w:iCs/>
          <w:sz w:val="20"/>
          <w:szCs w:val="20"/>
        </w:rPr>
        <w:t>This table presents simplified examples. Actual accounting situations are often more complex and require professional guidance.</w:t>
      </w:r>
    </w:p>
    <w:p w14:paraId="09F29B5B" w14:textId="77777777" w:rsidR="000B0ABA" w:rsidRPr="000B0ABA" w:rsidRDefault="000B0ABA" w:rsidP="000B0ABA">
      <w:pPr>
        <w:rPr>
          <w:sz w:val="20"/>
          <w:szCs w:val="20"/>
        </w:rPr>
      </w:pPr>
      <w:r w:rsidRPr="000B0ABA">
        <w:rPr>
          <w:sz w:val="20"/>
          <w:szCs w:val="20"/>
        </w:rPr>
        <w:t>Table: Investopedia/Peter Gratton</w:t>
      </w:r>
    </w:p>
    <w:p w14:paraId="3B3EA828" w14:textId="3F364C7D" w:rsidR="000B0ABA" w:rsidRPr="000B0ABA" w:rsidRDefault="000B0ABA" w:rsidP="000B0ABA">
      <w:r w:rsidRPr="000B0ABA">
        <mc:AlternateContent>
          <mc:Choice Requires="wps">
            <w:drawing>
              <wp:inline distT="0" distB="0" distL="0" distR="0" wp14:anchorId="3F5D62CB" wp14:editId="54A7AA1F">
                <wp:extent cx="171450" cy="171450"/>
                <wp:effectExtent l="0" t="0" r="0" b="0"/>
                <wp:docPr id="771210297" name="Rectangle 1" descr="Invest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51FA2" id="Rectangle 1" o:spid="_x0000_s1026" alt="Investopedia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67C2996" w14:textId="77777777" w:rsidR="00B66905" w:rsidRDefault="00B66905"/>
    <w:sectPr w:rsidR="00B66905" w:rsidSect="000B0ABA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D69EA"/>
    <w:multiLevelType w:val="multilevel"/>
    <w:tmpl w:val="9DA4297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6AB02480"/>
    <w:multiLevelType w:val="multilevel"/>
    <w:tmpl w:val="1CD0A84A"/>
    <w:lvl w:ilvl="0">
      <w:start w:val="1"/>
      <w:numFmt w:val="decimal"/>
      <w:pStyle w:val="APAH1blu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1303912">
    <w:abstractNumId w:val="0"/>
  </w:num>
  <w:num w:numId="2" w16cid:durableId="1672022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BA"/>
    <w:rsid w:val="000B0ABA"/>
    <w:rsid w:val="006047BC"/>
    <w:rsid w:val="00B66905"/>
    <w:rsid w:val="00F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BCBF2"/>
  <w15:chartTrackingRefBased/>
  <w15:docId w15:val="{27B66775-F164-4659-BD6A-E4EC537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905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1blue">
    <w:name w:val="APA H1 blue"/>
    <w:basedOn w:val="Heading1"/>
    <w:link w:val="APAH1blueChar"/>
    <w:qFormat/>
    <w:rsid w:val="00B66905"/>
    <w:pPr>
      <w:numPr>
        <w:numId w:val="2"/>
      </w:numPr>
      <w:tabs>
        <w:tab w:val="clear" w:pos="720"/>
      </w:tabs>
      <w:ind w:left="0" w:firstLine="0"/>
    </w:pPr>
    <w:rPr>
      <w:rFonts w:ascii="Calibri" w:hAnsi="Calibri"/>
      <w:b/>
    </w:rPr>
  </w:style>
  <w:style w:type="character" w:customStyle="1" w:styleId="APAH1blueChar">
    <w:name w:val="APA H1 blue Char"/>
    <w:basedOn w:val="Heading1Char"/>
    <w:link w:val="APAH1blue"/>
    <w:rsid w:val="00B66905"/>
    <w:rPr>
      <w:rFonts w:ascii="Calibri" w:eastAsiaTheme="majorEastAsia" w:hAnsi="Calibri" w:cstheme="majorBidi"/>
      <w:b/>
      <w:color w:val="0F4761" w:themeColor="accent1" w:themeShade="BF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66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22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2472</Characters>
  <Application>Microsoft Office Word</Application>
  <DocSecurity>0</DocSecurity>
  <Lines>206</Lines>
  <Paragraphs>54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McCain, Lynn</dc:creator>
  <cp:keywords/>
  <dc:description/>
  <cp:lastModifiedBy>McCain, Lynn</cp:lastModifiedBy>
  <cp:revision>1</cp:revision>
  <dcterms:created xsi:type="dcterms:W3CDTF">2025-07-30T16:32:00Z</dcterms:created>
  <dcterms:modified xsi:type="dcterms:W3CDTF">2025-07-30T16:39:00Z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5da4cd8d-81e5-476c-aa4f-c5c322d9d867</vt:lpwstr>
  </property>
</Properties>
</file>